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560" w:lineRule="exact"/>
        <w:ind w:firstLine="723" w:firstLineChars="200"/>
        <w:jc w:val="center"/>
        <w:rPr>
          <w:rFonts w:ascii="黑体" w:hAnsi="黑体" w:eastAsia="黑体" w:cs="宋体"/>
          <w:b/>
          <w:color w:val="auto"/>
          <w:kern w:val="0"/>
          <w:sz w:val="36"/>
          <w:szCs w:val="36"/>
        </w:rPr>
      </w:pPr>
      <w:r>
        <w:rPr>
          <w:rFonts w:hint="eastAsia" w:ascii="黑体" w:hAnsi="黑体" w:eastAsia="黑体" w:cs="宋体"/>
          <w:b/>
          <w:color w:val="auto"/>
          <w:kern w:val="0"/>
          <w:sz w:val="36"/>
          <w:szCs w:val="36"/>
        </w:rPr>
        <w:t>新疆财政支出绩效自评报告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color w:val="auto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color w:val="auto"/>
          <w:spacing w:val="-4"/>
          <w:sz w:val="32"/>
          <w:szCs w:val="32"/>
        </w:rPr>
        <w:t>一、项目概况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18"/>
          <w:rFonts w:ascii="楷体" w:hAnsi="楷体" w:eastAsia="楷体"/>
          <w:color w:val="auto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color w:val="auto"/>
          <w:spacing w:val="-4"/>
          <w:sz w:val="32"/>
          <w:szCs w:val="32"/>
        </w:rPr>
        <w:t>（一）项目单位基本情况</w:t>
      </w:r>
    </w:p>
    <w:p>
      <w:pPr>
        <w:pStyle w:val="48"/>
        <w:spacing w:after="156" w:afterLines="50" w:line="560" w:lineRule="exact"/>
        <w:ind w:firstLine="640"/>
        <w:rPr>
          <w:rFonts w:hint="eastAsia" w:ascii="仿宋" w:hAnsi="仿宋" w:eastAsia="仿宋"/>
          <w:snapToGrid w:val="0"/>
          <w:color w:val="auto"/>
          <w:kern w:val="32"/>
          <w:sz w:val="32"/>
          <w:szCs w:val="32"/>
        </w:rPr>
      </w:pPr>
      <w:r>
        <w:rPr>
          <w:rFonts w:ascii="仿宋" w:hAnsi="仿宋" w:eastAsia="仿宋"/>
          <w:snapToGrid w:val="0"/>
          <w:color w:val="auto"/>
          <w:kern w:val="32"/>
          <w:sz w:val="32"/>
          <w:szCs w:val="32"/>
        </w:rPr>
        <w:t>英吉沙县林业局下设林业站、野生动物植物资源保护办公室、林业有害生物防治检疫局、苗圃管理站、森林派出所、绿化办公室、护林防火指挥部办公室及14个乡镇林业站。林业系统有干部职工</w:t>
      </w:r>
      <w:r>
        <w:rPr>
          <w:rFonts w:hint="eastAsia" w:ascii="仿宋" w:hAnsi="仿宋" w:eastAsia="仿宋"/>
          <w:snapToGrid w:val="0"/>
          <w:color w:val="auto"/>
          <w:kern w:val="32"/>
          <w:sz w:val="32"/>
          <w:szCs w:val="32"/>
        </w:rPr>
        <w:t>65</w:t>
      </w:r>
      <w:r>
        <w:rPr>
          <w:rFonts w:ascii="仿宋" w:hAnsi="仿宋" w:eastAsia="仿宋"/>
          <w:snapToGrid w:val="0"/>
          <w:color w:val="auto"/>
          <w:kern w:val="32"/>
          <w:sz w:val="32"/>
          <w:szCs w:val="32"/>
        </w:rPr>
        <w:t>人，其中行政管理人员11人，专业技术人员15人（其中高级职称1人，中级职称1人，初级职称13人），工人39人。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18"/>
          <w:rFonts w:ascii="楷体" w:hAnsi="楷体" w:eastAsia="楷体"/>
          <w:color w:val="auto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color w:val="auto"/>
          <w:spacing w:val="-4"/>
          <w:sz w:val="32"/>
          <w:szCs w:val="32"/>
        </w:rPr>
        <w:t>（二）项目预算</w:t>
      </w:r>
      <w:r>
        <w:rPr>
          <w:rStyle w:val="18"/>
          <w:rFonts w:ascii="楷体" w:hAnsi="楷体" w:eastAsia="楷体"/>
          <w:color w:val="auto"/>
          <w:spacing w:val="-4"/>
          <w:sz w:val="32"/>
          <w:szCs w:val="32"/>
        </w:rPr>
        <w:t>绩效目标</w:t>
      </w:r>
      <w:r>
        <w:rPr>
          <w:rStyle w:val="18"/>
          <w:rFonts w:hint="eastAsia" w:ascii="楷体" w:hAnsi="楷体" w:eastAsia="楷体"/>
          <w:color w:val="auto"/>
          <w:spacing w:val="-4"/>
          <w:sz w:val="32"/>
          <w:szCs w:val="32"/>
        </w:rPr>
        <w:t>设定情况</w:t>
      </w:r>
    </w:p>
    <w:p>
      <w:pPr>
        <w:adjustRightInd w:val="0"/>
        <w:snapToGrid w:val="0"/>
        <w:spacing w:line="560" w:lineRule="exact"/>
        <w:ind w:firstLine="627" w:firstLineChars="200"/>
        <w:rPr>
          <w:rFonts w:ascii="仿宋" w:hAnsi="仿宋" w:eastAsia="仿宋"/>
          <w:b/>
          <w:bCs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color w:val="auto"/>
          <w:spacing w:val="-4"/>
          <w:sz w:val="32"/>
          <w:szCs w:val="32"/>
        </w:rPr>
        <w:t>1、项目预期目标及阶段性目标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通过该项目的实施，加强了对英吉沙县五座水库周边土壤、负氧离子、空气质量、水质的实时监测，对英吉沙县生态建设及保护起着重要作用。为科研、教育、科普提供场所，提高人们爱护湿地、保护湿地的意识，合理利用湿地资源，发展生态旅游等特色产业，为当地居民带来更多的就业机会，增加收入来源，有效保障区域生态安全，有效保持和提高生态系统服务功能，有效保护生物栖息地和生物多样性，有效调节英吉沙县气候。</w:t>
      </w:r>
    </w:p>
    <w:p>
      <w:pPr>
        <w:adjustRightInd w:val="0"/>
        <w:snapToGrid w:val="0"/>
        <w:spacing w:line="560" w:lineRule="exact"/>
        <w:ind w:firstLine="627" w:firstLineChars="200"/>
        <w:rPr>
          <w:rFonts w:ascii="仿宋" w:hAnsi="仿宋" w:eastAsia="仿宋"/>
          <w:b/>
          <w:bCs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color w:val="auto"/>
          <w:spacing w:val="-4"/>
          <w:sz w:val="32"/>
          <w:szCs w:val="32"/>
        </w:rPr>
        <w:t>2、项目基本性质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本项目性质为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新建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。</w:t>
      </w:r>
    </w:p>
    <w:p>
      <w:pPr>
        <w:adjustRightInd w:val="0"/>
        <w:snapToGrid w:val="0"/>
        <w:spacing w:line="560" w:lineRule="exact"/>
        <w:ind w:firstLine="627" w:firstLineChars="200"/>
        <w:rPr>
          <w:rFonts w:ascii="仿宋" w:hAnsi="仿宋" w:eastAsia="仿宋"/>
          <w:b/>
          <w:bCs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color w:val="auto"/>
          <w:spacing w:val="-4"/>
          <w:sz w:val="32"/>
          <w:szCs w:val="32"/>
        </w:rPr>
        <w:t>3、项目用途及范围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本项目资金主要用于五座水库周边土壤、负氧离子、空气质量、水质、生物多样性监测费用。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color w:val="auto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color w:val="auto"/>
          <w:spacing w:val="-4"/>
          <w:sz w:val="32"/>
          <w:szCs w:val="32"/>
        </w:rPr>
        <w:t>二、项目资金使用及管理情况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color w:val="auto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color w:val="auto"/>
          <w:spacing w:val="-4"/>
          <w:sz w:val="32"/>
          <w:szCs w:val="32"/>
        </w:rPr>
        <w:t>（一）项目资金安排落实、总投入等情况分析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2018年英吉沙国家湿地公园湿地监测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项目预算安排总额为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万元，其中财政资金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万元，自筹资金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0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万元，2018年实际收到预算资金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万元。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color w:val="auto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color w:val="auto"/>
          <w:spacing w:val="-4"/>
          <w:sz w:val="32"/>
          <w:szCs w:val="32"/>
        </w:rPr>
        <w:t>（二）项目资金实际使用情况分析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本项目实际支付资金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万元，预算执行率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100</w:t>
      </w: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%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。项目资金主要用于支付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五座水库周边土壤、负氧离子、空气质量、水质、生物多样性监测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费用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万元。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color w:val="auto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color w:val="auto"/>
          <w:spacing w:val="-4"/>
          <w:sz w:val="32"/>
          <w:szCs w:val="32"/>
        </w:rPr>
        <w:t>（三）项目资金管理情况分析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" w:hAnsi="仿宋" w:eastAsia="仿宋"/>
          <w:b w:val="0"/>
          <w:bCs w:val="0"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本项目支出符合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英吉沙县林业局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相关财务管理制度，包括会计人员集中核算工作管理制度、财务收支审批制度、财务稽核制度、财务牵制制度、会计主管岗位职责等制度规定，资金的拨付有完整的审批程序和手续，不存在截留、挤占、挪用等情况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color w:val="auto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color w:val="auto"/>
          <w:spacing w:val="-4"/>
          <w:sz w:val="32"/>
          <w:szCs w:val="32"/>
        </w:rPr>
        <w:t>三、项目组织实施情况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color w:val="auto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color w:val="auto"/>
          <w:spacing w:val="-4"/>
          <w:sz w:val="32"/>
          <w:szCs w:val="32"/>
        </w:rPr>
        <w:t>（一）项目组织情况分析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" w:hAnsi="仿宋" w:eastAsia="仿宋"/>
          <w:b w:val="0"/>
          <w:color w:val="auto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</w:rPr>
        <w:t>该项目属于</w:t>
      </w:r>
      <w:r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  <w:lang w:val="en-US" w:eastAsia="zh-CN"/>
        </w:rPr>
        <w:t>需政府公开招标采购</w:t>
      </w:r>
      <w:r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</w:rPr>
        <w:t>项目,由本单位</w:t>
      </w:r>
      <w:r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  <w:lang w:val="en-US" w:eastAsia="zh-CN"/>
        </w:rPr>
        <w:t>及英吉沙县政府采购中心</w:t>
      </w:r>
      <w:r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</w:rPr>
        <w:t>组织实施</w:t>
      </w:r>
      <w:r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  <w:lang w:val="en-US" w:eastAsia="zh-CN"/>
        </w:rPr>
        <w:t>采用邀请招标进行采购</w:t>
      </w:r>
      <w:r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</w:rPr>
        <w:t>。实施过程均按照本单位</w:t>
      </w:r>
      <w:r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  <w:lang w:val="en-US" w:eastAsia="zh-CN"/>
        </w:rPr>
        <w:t>及政府采购法</w:t>
      </w:r>
      <w:r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</w:rPr>
        <w:t>制定的管理制度执行。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" w:hAnsi="仿宋" w:eastAsia="仿宋"/>
          <w:b w:val="0"/>
          <w:color w:val="auto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</w:rPr>
        <w:t>本项目不存在调整情况。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" w:hAnsi="仿宋" w:eastAsia="仿宋"/>
          <w:b w:val="0"/>
          <w:color w:val="auto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</w:rPr>
        <w:t>为保证项目质量和成本控制，项目实施完成后，由本项目相关人员于</w:t>
      </w:r>
      <w:r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  <w:lang w:val="en-US" w:eastAsia="zh-CN"/>
        </w:rPr>
        <w:t>2018</w:t>
      </w:r>
      <w:r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</w:rPr>
        <w:t>年</w:t>
      </w:r>
      <w:r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  <w:lang w:val="en-US" w:eastAsia="zh-CN"/>
        </w:rPr>
        <w:t>11</w:t>
      </w:r>
      <w:r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</w:rPr>
        <w:t>月完成检查验收，检查验收合格后按合同规定支付款项。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color w:val="auto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color w:val="auto"/>
          <w:spacing w:val="-4"/>
          <w:sz w:val="32"/>
          <w:szCs w:val="32"/>
        </w:rPr>
        <w:t>（二）项目管理情况分析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" w:hAnsi="仿宋" w:eastAsia="仿宋"/>
          <w:b w:val="0"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项目实施过程中，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英吉沙县林业局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建立了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该项目实施方案，项目实施严格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遵守相关法律法规和业务管理规定，项目资料齐全并及时归档。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我单位对施工单位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不定期对项目进度情况进行督导检查，对检查过程中发现的问题及时督促整改，确保了项目按时保质完成。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黑体" w:hAnsi="黑体" w:eastAsia="黑体"/>
          <w:color w:val="auto"/>
        </w:rPr>
      </w:pPr>
      <w:r>
        <w:rPr>
          <w:rStyle w:val="18"/>
          <w:rFonts w:hint="eastAsia" w:ascii="黑体" w:hAnsi="黑体" w:eastAsia="黑体"/>
          <w:b w:val="0"/>
          <w:color w:val="auto"/>
          <w:spacing w:val="-4"/>
          <w:sz w:val="32"/>
          <w:szCs w:val="32"/>
        </w:rPr>
        <w:t>四、项目绩效情况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bCs w:val="0"/>
          <w:color w:val="auto"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color w:val="auto"/>
          <w:spacing w:val="-4"/>
          <w:sz w:val="32"/>
          <w:szCs w:val="32"/>
        </w:rPr>
        <w:t>（一）项目绩效目标完成情况分析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auto"/>
          <w:spacing w:val="-4"/>
          <w:sz w:val="32"/>
          <w:szCs w:val="32"/>
        </w:rPr>
      </w:pP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本项目共设置一级指标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3</w:t>
      </w: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个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，</w:t>
      </w: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二级指标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9</w:t>
      </w: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个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，</w:t>
      </w: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三级指标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14</w:t>
      </w: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个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，其中</w:t>
      </w: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已完成三级指标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14</w:t>
      </w: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个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，指标完成率为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100%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  <w:lang w:val="en-US" w:eastAsia="zh-CN"/>
        </w:rPr>
      </w:pPr>
      <w:r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</w:rPr>
        <w:t>经济性：</w:t>
      </w:r>
      <w:r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  <w:lang w:val="en-US" w:eastAsia="zh-CN"/>
        </w:rPr>
        <w:t>该项目是生态建设基础性工程，项目的实施不以赢利为目的，其经济效主要通过生态效益和社会效益体现出来。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  <w:lang w:val="en-US" w:eastAsia="zh-CN"/>
        </w:rPr>
      </w:pPr>
      <w:r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</w:rPr>
        <w:t>效率性：</w:t>
      </w:r>
      <w:r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  <w:lang w:val="en-US" w:eastAsia="zh-CN"/>
        </w:rPr>
        <w:t>本项目严格按照项目实施方案时间节点进行实施及拨付项目资金。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auto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</w:rPr>
        <w:t>效益性：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对英吉沙县生态建设及保护起着重要作用。为科研、教育、科普提供场所，提高人们爱护湿地、保护湿地的意识，合理利用湿地资源，发展生态旅游等特色产业，为当地居民带来更多的就业机会，增加收入来源，有效保障区域生态安全，有效保持和提高生态系统服务功能，有效保护生物栖息地和生物多样性，有效调节英吉沙县气候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color w:val="auto"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color w:val="auto"/>
          <w:spacing w:val="-4"/>
          <w:sz w:val="32"/>
          <w:szCs w:val="32"/>
        </w:rPr>
        <w:t>（二）项目绩效目标未完成原因分析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2018年本项目绩效目标全部达成，不存在未完成原因分析。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color w:val="auto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color w:val="auto"/>
          <w:spacing w:val="-4"/>
          <w:sz w:val="32"/>
          <w:szCs w:val="32"/>
        </w:rPr>
        <w:t>五、其他需要说明的问题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color w:val="auto"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color w:val="auto"/>
          <w:spacing w:val="-4"/>
          <w:sz w:val="32"/>
          <w:szCs w:val="32"/>
        </w:rPr>
        <w:t>（一）后续工作计划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 w:cs="Times New Roman"/>
          <w:bCs/>
          <w:color w:val="auto"/>
          <w:spacing w:val="-4"/>
          <w:sz w:val="32"/>
          <w:szCs w:val="32"/>
          <w:lang w:val="en-US" w:eastAsia="zh-CN"/>
        </w:rPr>
      </w:pPr>
      <w:r>
        <w:rPr>
          <w:rFonts w:hint="eastAsia" w:ascii="仿宋" w:hAnsi="仿宋" w:eastAsia="仿宋" w:cs="Times New Roman"/>
          <w:bCs/>
          <w:color w:val="auto"/>
          <w:spacing w:val="-4"/>
          <w:sz w:val="32"/>
          <w:szCs w:val="32"/>
          <w:lang w:val="en-US" w:eastAsia="zh-CN"/>
        </w:rPr>
        <w:t>下一个年度此类项目任务下达后，抓紧时间做项目前期准备，待项目资金到位后及时实施，保证项目进度及资金及时支付并做好项目绩效评价。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color w:val="auto"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color w:val="auto"/>
          <w:spacing w:val="-4"/>
          <w:sz w:val="32"/>
          <w:szCs w:val="32"/>
        </w:rPr>
        <w:t>（二）主要经验及做法、存在问题和建议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1、主要经验及做法</w:t>
      </w:r>
    </w:p>
    <w:p>
      <w:pPr>
        <w:pStyle w:val="2"/>
        <w:ind w:firstLine="624" w:firstLineChars="200"/>
        <w:rPr>
          <w:rFonts w:hint="eastAsia" w:ascii="仿宋" w:hAnsi="仿宋" w:eastAsia="仿宋" w:cs="Times New Roman"/>
          <w:b w:val="0"/>
          <w:bCs/>
          <w:color w:val="auto"/>
          <w:spacing w:val="-4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Times New Roman"/>
          <w:b w:val="0"/>
          <w:bCs/>
          <w:color w:val="auto"/>
          <w:spacing w:val="-4"/>
          <w:kern w:val="2"/>
          <w:sz w:val="32"/>
          <w:szCs w:val="32"/>
          <w:lang w:val="en-US" w:eastAsia="zh-CN" w:bidi="ar-SA"/>
        </w:rPr>
        <w:t>下达任务后积极准备实施方案报批，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2、存在的问题</w:t>
      </w:r>
    </w:p>
    <w:p>
      <w:pPr>
        <w:pStyle w:val="2"/>
        <w:ind w:firstLine="624" w:firstLineChars="200"/>
        <w:rPr>
          <w:rFonts w:hint="eastAsia" w:eastAsia="仿宋"/>
          <w:b w:val="0"/>
          <w:bCs w:val="0"/>
          <w:color w:val="auto"/>
          <w:lang w:val="en-US" w:eastAsia="zh-CN"/>
        </w:rPr>
      </w:pPr>
      <w:r>
        <w:rPr>
          <w:rFonts w:hint="eastAsia" w:ascii="仿宋" w:hAnsi="仿宋" w:eastAsia="仿宋"/>
          <w:b w:val="0"/>
          <w:bCs w:val="0"/>
          <w:color w:val="auto"/>
          <w:spacing w:val="-4"/>
          <w:sz w:val="32"/>
          <w:szCs w:val="32"/>
          <w:lang w:val="en-US" w:eastAsia="zh-CN"/>
        </w:rPr>
        <w:t>无。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3、建议</w:t>
      </w:r>
    </w:p>
    <w:p>
      <w:pPr>
        <w:pStyle w:val="2"/>
        <w:ind w:firstLine="624" w:firstLineChars="200"/>
        <w:rPr>
          <w:rFonts w:hint="eastAsia" w:eastAsia="仿宋"/>
          <w:b w:val="0"/>
          <w:bCs w:val="0"/>
          <w:color w:val="auto"/>
          <w:lang w:val="en-US" w:eastAsia="zh-CN"/>
        </w:rPr>
      </w:pPr>
      <w:r>
        <w:rPr>
          <w:rFonts w:hint="eastAsia" w:ascii="仿宋" w:hAnsi="仿宋" w:eastAsia="仿宋"/>
          <w:b w:val="0"/>
          <w:bCs w:val="0"/>
          <w:color w:val="auto"/>
          <w:spacing w:val="-4"/>
          <w:sz w:val="32"/>
          <w:szCs w:val="32"/>
          <w:lang w:val="en-US" w:eastAsia="zh-CN"/>
        </w:rPr>
        <w:t>无。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color w:val="auto"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color w:val="auto"/>
          <w:spacing w:val="-4"/>
          <w:sz w:val="32"/>
          <w:szCs w:val="32"/>
        </w:rPr>
        <w:t>（三）其他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无其他说明内容。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Fonts w:ascii="黑体" w:hAnsi="黑体" w:eastAsia="黑体"/>
          <w:bCs/>
          <w:color w:val="auto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color w:val="auto"/>
          <w:spacing w:val="-4"/>
          <w:sz w:val="32"/>
          <w:szCs w:val="32"/>
        </w:rPr>
        <w:t>六、项目评价工作情况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本次评价通过文件研读、实地调研、数据分析等方式，全面了解</w:t>
      </w:r>
      <w:r>
        <w:rPr>
          <w:rFonts w:hint="eastAsia" w:ascii="仿宋" w:hAnsi="仿宋" w:eastAsia="仿宋"/>
          <w:color w:val="auto"/>
          <w:spacing w:val="-4"/>
          <w:sz w:val="32"/>
          <w:szCs w:val="32"/>
          <w:lang w:val="en-US" w:eastAsia="zh-CN"/>
        </w:rPr>
        <w:t>湿地公园生态监测</w:t>
      </w: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项目资金的使用效率和效果，项目管理</w:t>
      </w:r>
      <w:r>
        <w:rPr>
          <w:rFonts w:hint="eastAsia" w:ascii="仿宋" w:hAnsi="仿宋" w:eastAsia="仿宋"/>
          <w:color w:val="auto"/>
          <w:spacing w:val="-4"/>
          <w:sz w:val="32"/>
          <w:szCs w:val="32"/>
          <w:lang w:val="en-US" w:eastAsia="zh-CN"/>
        </w:rPr>
        <w:t>过程</w:t>
      </w: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规范，完成了预期绩效目标。同时，通过开展自我评价来总结经验和教训，为</w:t>
      </w:r>
      <w:r>
        <w:rPr>
          <w:rFonts w:hint="eastAsia" w:ascii="仿宋" w:hAnsi="仿宋" w:eastAsia="仿宋"/>
          <w:color w:val="auto"/>
          <w:spacing w:val="-4"/>
          <w:sz w:val="32"/>
          <w:szCs w:val="32"/>
          <w:lang w:val="en-US" w:eastAsia="zh-CN"/>
        </w:rPr>
        <w:t>英吉沙县林业局湿地公园生态监测</w:t>
      </w: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项目今后的开展提供参考建议。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color w:val="auto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color w:val="auto"/>
          <w:spacing w:val="-4"/>
          <w:sz w:val="32"/>
          <w:szCs w:val="32"/>
        </w:rPr>
        <w:t>七、附表</w:t>
      </w:r>
      <w:bookmarkStart w:id="0" w:name="_GoBack"/>
      <w:bookmarkEnd w:id="0"/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" w:hAnsi="仿宋" w:eastAsia="仿宋"/>
          <w:b w:val="0"/>
          <w:color w:val="auto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</w:rPr>
        <w:t>《项目支出绩效目标自评表》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18"/>
          <w:rFonts w:ascii="仿宋" w:hAnsi="仿宋" w:eastAsia="仿宋"/>
          <w:color w:val="auto"/>
          <w:spacing w:val="-4"/>
          <w:sz w:val="32"/>
          <w:szCs w:val="32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627892034"/>
      <w:docPartObj>
        <w:docPartGallery w:val="autotext"/>
      </w:docPartObj>
    </w:sdtPr>
    <w:sdtContent>
      <w:p>
        <w:pPr>
          <w:pStyle w:val="1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>
    <w:pPr>
      <w:pStyle w:val="1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A6457"/>
    <w:rsid w:val="0012208E"/>
    <w:rsid w:val="00135256"/>
    <w:rsid w:val="001A4E1F"/>
    <w:rsid w:val="001A57B9"/>
    <w:rsid w:val="001C3847"/>
    <w:rsid w:val="001F3031"/>
    <w:rsid w:val="00210A26"/>
    <w:rsid w:val="002A2532"/>
    <w:rsid w:val="00365250"/>
    <w:rsid w:val="0036624C"/>
    <w:rsid w:val="00385849"/>
    <w:rsid w:val="0050167F"/>
    <w:rsid w:val="00514506"/>
    <w:rsid w:val="005162F1"/>
    <w:rsid w:val="00530B23"/>
    <w:rsid w:val="00535153"/>
    <w:rsid w:val="00575CFE"/>
    <w:rsid w:val="00592D09"/>
    <w:rsid w:val="00675D58"/>
    <w:rsid w:val="006B5975"/>
    <w:rsid w:val="006F2E6D"/>
    <w:rsid w:val="007218B8"/>
    <w:rsid w:val="00785FDE"/>
    <w:rsid w:val="007A0351"/>
    <w:rsid w:val="007A14BC"/>
    <w:rsid w:val="007C1025"/>
    <w:rsid w:val="007E6845"/>
    <w:rsid w:val="007F5F8A"/>
    <w:rsid w:val="00826CA1"/>
    <w:rsid w:val="00835B7F"/>
    <w:rsid w:val="00855E3A"/>
    <w:rsid w:val="00922CB9"/>
    <w:rsid w:val="009B526F"/>
    <w:rsid w:val="009C1AFD"/>
    <w:rsid w:val="00A26421"/>
    <w:rsid w:val="00A4293B"/>
    <w:rsid w:val="00A83BD5"/>
    <w:rsid w:val="00B06CA5"/>
    <w:rsid w:val="00B41F61"/>
    <w:rsid w:val="00B55332"/>
    <w:rsid w:val="00B86E8C"/>
    <w:rsid w:val="00BE1A00"/>
    <w:rsid w:val="00C22CF0"/>
    <w:rsid w:val="00C56C72"/>
    <w:rsid w:val="00CA6457"/>
    <w:rsid w:val="00CB0B2C"/>
    <w:rsid w:val="00CC6E4D"/>
    <w:rsid w:val="00D17F2E"/>
    <w:rsid w:val="00D46194"/>
    <w:rsid w:val="00E01293"/>
    <w:rsid w:val="00E769FE"/>
    <w:rsid w:val="00EA2CBE"/>
    <w:rsid w:val="00F32FEE"/>
    <w:rsid w:val="1FAD57BB"/>
    <w:rsid w:val="5AF262CB"/>
    <w:rsid w:val="6A046403"/>
    <w:rsid w:val="6DEC157B"/>
    <w:rsid w:val="78BD7755"/>
    <w:rsid w:val="7C431EB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21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4">
    <w:name w:val="heading 2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2">
    <w:name w:val="heading 3"/>
    <w:basedOn w:val="1"/>
    <w:next w:val="1"/>
    <w:link w:val="23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4"/>
    <w:semiHidden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9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20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Document Map"/>
    <w:basedOn w:val="1"/>
    <w:link w:val="46"/>
    <w:semiHidden/>
    <w:unhideWhenUsed/>
    <w:uiPriority w:val="99"/>
    <w:rPr>
      <w:rFonts w:ascii="宋体"/>
      <w:sz w:val="18"/>
      <w:szCs w:val="18"/>
    </w:rPr>
  </w:style>
  <w:style w:type="paragraph" w:styleId="12">
    <w:name w:val="Balloon Text"/>
    <w:basedOn w:val="1"/>
    <w:link w:val="47"/>
    <w:semiHidden/>
    <w:unhideWhenUsed/>
    <w:uiPriority w:val="99"/>
    <w:rPr>
      <w:sz w:val="18"/>
      <w:szCs w:val="18"/>
    </w:rPr>
  </w:style>
  <w:style w:type="paragraph" w:styleId="13">
    <w:name w:val="footer"/>
    <w:basedOn w:val="1"/>
    <w:link w:val="45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4">
    <w:name w:val="header"/>
    <w:basedOn w:val="1"/>
    <w:link w:val="44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5">
    <w:name w:val="Subtitle"/>
    <w:basedOn w:val="1"/>
    <w:next w:val="1"/>
    <w:link w:val="31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6">
    <w:name w:val="Title"/>
    <w:basedOn w:val="1"/>
    <w:next w:val="1"/>
    <w:link w:val="30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8">
    <w:name w:val="Strong"/>
    <w:basedOn w:val="17"/>
    <w:qFormat/>
    <w:uiPriority w:val="0"/>
    <w:rPr>
      <w:b/>
      <w:bCs/>
    </w:rPr>
  </w:style>
  <w:style w:type="character" w:styleId="19">
    <w:name w:val="Emphasis"/>
    <w:basedOn w:val="17"/>
    <w:qFormat/>
    <w:uiPriority w:val="20"/>
    <w:rPr>
      <w:rFonts w:asciiTheme="minorHAnsi" w:hAnsiTheme="minorHAnsi"/>
      <w:b/>
      <w:i/>
      <w:iCs/>
    </w:rPr>
  </w:style>
  <w:style w:type="character" w:customStyle="1" w:styleId="21">
    <w:name w:val="标题 1 Char"/>
    <w:basedOn w:val="17"/>
    <w:link w:val="3"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2">
    <w:name w:val="标题 2 Char"/>
    <w:basedOn w:val="17"/>
    <w:link w:val="4"/>
    <w:semiHidden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3">
    <w:name w:val="标题 3 Char"/>
    <w:basedOn w:val="17"/>
    <w:link w:val="2"/>
    <w:semiHidden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4">
    <w:name w:val="标题 4 Char"/>
    <w:basedOn w:val="17"/>
    <w:link w:val="5"/>
    <w:semiHidden/>
    <w:uiPriority w:val="9"/>
    <w:rPr>
      <w:b/>
      <w:bCs/>
      <w:sz w:val="28"/>
      <w:szCs w:val="28"/>
    </w:rPr>
  </w:style>
  <w:style w:type="character" w:customStyle="1" w:styleId="25">
    <w:name w:val="标题 5 Char"/>
    <w:basedOn w:val="17"/>
    <w:link w:val="6"/>
    <w:semiHidden/>
    <w:uiPriority w:val="9"/>
    <w:rPr>
      <w:b/>
      <w:bCs/>
      <w:i/>
      <w:iCs/>
      <w:sz w:val="26"/>
      <w:szCs w:val="26"/>
    </w:rPr>
  </w:style>
  <w:style w:type="character" w:customStyle="1" w:styleId="26">
    <w:name w:val="标题 6 Char"/>
    <w:basedOn w:val="17"/>
    <w:link w:val="7"/>
    <w:semiHidden/>
    <w:uiPriority w:val="9"/>
    <w:rPr>
      <w:b/>
      <w:bCs/>
    </w:rPr>
  </w:style>
  <w:style w:type="character" w:customStyle="1" w:styleId="27">
    <w:name w:val="标题 7 Char"/>
    <w:basedOn w:val="17"/>
    <w:link w:val="8"/>
    <w:semiHidden/>
    <w:uiPriority w:val="9"/>
    <w:rPr>
      <w:sz w:val="24"/>
      <w:szCs w:val="24"/>
    </w:rPr>
  </w:style>
  <w:style w:type="character" w:customStyle="1" w:styleId="28">
    <w:name w:val="标题 8 Char"/>
    <w:basedOn w:val="17"/>
    <w:link w:val="9"/>
    <w:semiHidden/>
    <w:qFormat/>
    <w:uiPriority w:val="9"/>
    <w:rPr>
      <w:i/>
      <w:iCs/>
      <w:sz w:val="24"/>
      <w:szCs w:val="24"/>
    </w:rPr>
  </w:style>
  <w:style w:type="character" w:customStyle="1" w:styleId="29">
    <w:name w:val="标题 9 Char"/>
    <w:basedOn w:val="17"/>
    <w:link w:val="10"/>
    <w:semiHidden/>
    <w:uiPriority w:val="9"/>
    <w:rPr>
      <w:rFonts w:asciiTheme="majorHAnsi" w:hAnsiTheme="majorHAnsi" w:eastAsiaTheme="majorEastAsia"/>
    </w:rPr>
  </w:style>
  <w:style w:type="character" w:customStyle="1" w:styleId="30">
    <w:name w:val="标题 Char"/>
    <w:basedOn w:val="17"/>
    <w:link w:val="16"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1">
    <w:name w:val="副标题 Char"/>
    <w:basedOn w:val="17"/>
    <w:link w:val="15"/>
    <w:uiPriority w:val="11"/>
    <w:rPr>
      <w:rFonts w:asciiTheme="majorHAnsi" w:hAnsiTheme="majorHAnsi" w:eastAsiaTheme="majorEastAsia"/>
      <w:sz w:val="24"/>
      <w:szCs w:val="24"/>
    </w:rPr>
  </w:style>
  <w:style w:type="paragraph" w:styleId="32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3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4">
    <w:name w:val="Quote"/>
    <w:basedOn w:val="1"/>
    <w:next w:val="1"/>
    <w:link w:val="35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5">
    <w:name w:val="引用 Char"/>
    <w:basedOn w:val="17"/>
    <w:link w:val="34"/>
    <w:qFormat/>
    <w:uiPriority w:val="29"/>
    <w:rPr>
      <w:i/>
      <w:sz w:val="24"/>
      <w:szCs w:val="24"/>
    </w:rPr>
  </w:style>
  <w:style w:type="paragraph" w:styleId="36">
    <w:name w:val="Intense Quote"/>
    <w:basedOn w:val="1"/>
    <w:next w:val="1"/>
    <w:link w:val="37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7">
    <w:name w:val="明显引用 Char"/>
    <w:basedOn w:val="17"/>
    <w:link w:val="36"/>
    <w:uiPriority w:val="30"/>
    <w:rPr>
      <w:b/>
      <w:i/>
      <w:sz w:val="24"/>
    </w:rPr>
  </w:style>
  <w:style w:type="character" w:customStyle="1" w:styleId="38">
    <w:name w:val="Subtle Emphasis"/>
    <w:qFormat/>
    <w:uiPriority w:val="19"/>
    <w:rPr>
      <w:i/>
      <w:color w:val="595959" w:themeColor="text1" w:themeTint="A5"/>
    </w:rPr>
  </w:style>
  <w:style w:type="character" w:customStyle="1" w:styleId="39">
    <w:name w:val="Intense Emphasis"/>
    <w:basedOn w:val="17"/>
    <w:qFormat/>
    <w:uiPriority w:val="21"/>
    <w:rPr>
      <w:b/>
      <w:i/>
      <w:sz w:val="24"/>
      <w:szCs w:val="24"/>
      <w:u w:val="single"/>
    </w:rPr>
  </w:style>
  <w:style w:type="character" w:customStyle="1" w:styleId="40">
    <w:name w:val="Subtle Reference"/>
    <w:basedOn w:val="17"/>
    <w:qFormat/>
    <w:uiPriority w:val="31"/>
    <w:rPr>
      <w:sz w:val="24"/>
      <w:szCs w:val="24"/>
      <w:u w:val="single"/>
    </w:rPr>
  </w:style>
  <w:style w:type="character" w:customStyle="1" w:styleId="41">
    <w:name w:val="Intense Reference"/>
    <w:basedOn w:val="17"/>
    <w:qFormat/>
    <w:uiPriority w:val="32"/>
    <w:rPr>
      <w:b/>
      <w:sz w:val="24"/>
      <w:u w:val="single"/>
    </w:rPr>
  </w:style>
  <w:style w:type="character" w:customStyle="1" w:styleId="42">
    <w:name w:val="Book Title"/>
    <w:basedOn w:val="17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3">
    <w:name w:val="TOC Heading"/>
    <w:basedOn w:val="3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4">
    <w:name w:val="页眉 Char"/>
    <w:basedOn w:val="17"/>
    <w:link w:val="14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页脚 Char"/>
    <w:basedOn w:val="17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6">
    <w:name w:val="文档结构图 Char"/>
    <w:basedOn w:val="17"/>
    <w:link w:val="11"/>
    <w:semiHidden/>
    <w:uiPriority w:val="99"/>
    <w:rPr>
      <w:rFonts w:ascii="宋体" w:hAnsi="Times New Roman" w:eastAsia="宋体"/>
      <w:kern w:val="2"/>
      <w:sz w:val="18"/>
      <w:szCs w:val="18"/>
    </w:rPr>
  </w:style>
  <w:style w:type="character" w:customStyle="1" w:styleId="47">
    <w:name w:val="批注框文本 Char"/>
    <w:basedOn w:val="17"/>
    <w:link w:val="12"/>
    <w:semiHidden/>
    <w:uiPriority w:val="99"/>
    <w:rPr>
      <w:rFonts w:ascii="Times New Roman" w:hAnsi="Times New Roman" w:eastAsia="宋体"/>
      <w:kern w:val="2"/>
      <w:sz w:val="18"/>
      <w:szCs w:val="18"/>
    </w:rPr>
  </w:style>
  <w:style w:type="paragraph" w:customStyle="1" w:styleId="48">
    <w:name w:val="样式 首行缩进:  0 字符"/>
    <w:basedOn w:val="1"/>
    <w:qFormat/>
    <w:uiPriority w:val="0"/>
    <w:pPr>
      <w:adjustRightInd w:val="0"/>
      <w:snapToGrid w:val="0"/>
      <w:spacing w:line="480" w:lineRule="auto"/>
      <w:ind w:firstLine="560" w:firstLineChars="200"/>
    </w:pPr>
    <w:rPr>
      <w:rFonts w:ascii="仿宋_GB2312" w:eastAsia="仿宋_GB2312"/>
      <w:snapToGrid/>
      <w:color w:val="auto"/>
      <w:kern w:val="2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0CEE500-7C99-4401-9847-36D5E4182B4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366</Words>
  <Characters>2087</Characters>
  <Lines>17</Lines>
  <Paragraphs>4</Paragraphs>
  <TotalTime>0</TotalTime>
  <ScaleCrop>false</ScaleCrop>
  <LinksUpToDate>false</LinksUpToDate>
  <CharactersWithSpaces>2449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2018-12-17T10:14:00Z</dcterms:created>
  <dc:creator>赵 恺（预算处）</dc:creator>
  <cp:lastModifiedBy>郭□□</cp:lastModifiedBy>
  <cp:lastPrinted>2018-12-17T10:15:00Z</cp:lastPrinted>
  <dcterms:modified xsi:type="dcterms:W3CDTF">2019-01-30T04:51:16Z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